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6B" w:rsidRPr="00984A63" w:rsidRDefault="0087046B" w:rsidP="0087046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haroni"/>
          <w:b/>
          <w:i/>
          <w:color w:val="002060"/>
          <w:sz w:val="36"/>
          <w:szCs w:val="36"/>
        </w:rPr>
      </w:pPr>
      <w:r w:rsidRPr="00984A63">
        <w:rPr>
          <w:rFonts w:ascii="Arial" w:hAnsi="Arial" w:cs="Aharoni"/>
          <w:b/>
          <w:i/>
          <w:color w:val="002060"/>
          <w:sz w:val="36"/>
          <w:szCs w:val="36"/>
        </w:rPr>
        <w:t>Классификация групп здоровья</w:t>
      </w:r>
    </w:p>
    <w:p w:rsidR="0087046B" w:rsidRPr="00984A63" w:rsidRDefault="0087046B" w:rsidP="0087046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haroni"/>
          <w:b/>
          <w:i/>
          <w:color w:val="002060"/>
          <w:sz w:val="36"/>
          <w:szCs w:val="36"/>
        </w:rPr>
      </w:pPr>
    </w:p>
    <w:p w:rsidR="0087046B" w:rsidRDefault="0087046B" w:rsidP="00984A6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263238"/>
          <w:sz w:val="21"/>
          <w:szCs w:val="21"/>
        </w:rPr>
      </w:pPr>
      <w:r>
        <w:rPr>
          <w:rFonts w:ascii="Arial" w:hAnsi="Arial" w:cs="Arial"/>
          <w:color w:val="263238"/>
          <w:sz w:val="21"/>
          <w:szCs w:val="21"/>
        </w:rPr>
        <w:t>Состояние здоровья – это важный показатель не только настоящего, но и будущего благополучия человека.</w:t>
      </w:r>
    </w:p>
    <w:p w:rsidR="0087046B" w:rsidRDefault="0087046B" w:rsidP="0087046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63238"/>
          <w:sz w:val="21"/>
          <w:szCs w:val="21"/>
        </w:rPr>
      </w:pPr>
    </w:p>
    <w:p w:rsidR="0087046B" w:rsidRDefault="0087046B" w:rsidP="0087046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63238"/>
          <w:sz w:val="21"/>
          <w:szCs w:val="21"/>
        </w:rPr>
      </w:pPr>
      <w:r>
        <w:rPr>
          <w:rFonts w:ascii="Arial" w:hAnsi="Arial" w:cs="Arial"/>
          <w:noProof/>
          <w:color w:val="263238"/>
          <w:sz w:val="21"/>
          <w:szCs w:val="21"/>
        </w:rPr>
        <w:drawing>
          <wp:inline distT="0" distB="0" distL="0" distR="0" wp14:anchorId="1BA2F84A" wp14:editId="561BFD1B">
            <wp:extent cx="5304038" cy="3534644"/>
            <wp:effectExtent l="0" t="0" r="0" b="8890"/>
            <wp:docPr id="1" name="Рисунок 1" descr="https://ppmsp.rkomi.ru/system/attachments/uploads/000/269/669/original/p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msp.rkomi.ru/system/attachments/uploads/000/269/669/original/ped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89" cy="35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6B" w:rsidRDefault="0087046B" w:rsidP="0087046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63238"/>
          <w:sz w:val="21"/>
          <w:szCs w:val="21"/>
        </w:rPr>
      </w:pPr>
    </w:p>
    <w:p w:rsidR="0087046B" w:rsidRPr="00984A63" w:rsidRDefault="0087046B" w:rsidP="0087046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F5496" w:themeColor="accent5" w:themeShade="BF"/>
        </w:rPr>
      </w:pPr>
      <w:r w:rsidRPr="00984A63">
        <w:rPr>
          <w:rStyle w:val="a4"/>
          <w:rFonts w:ascii="inherit" w:hAnsi="inherit" w:cs="Arial"/>
          <w:color w:val="2F5496" w:themeColor="accent5" w:themeShade="BF"/>
          <w:bdr w:val="none" w:sz="0" w:space="0" w:color="auto" w:frame="1"/>
        </w:rPr>
        <w:t>Группы здоровья</w:t>
      </w:r>
      <w:r w:rsidRPr="00984A63">
        <w:rPr>
          <w:rFonts w:ascii="Arial" w:hAnsi="Arial" w:cs="Arial"/>
          <w:color w:val="2F5496" w:themeColor="accent5" w:themeShade="BF"/>
        </w:rPr>
        <w:t> – это условный термин, используемый для ориентировочной оценки здоровья детей и взрослых. Для того чтобы ребенка отнести к той или иной группе здоровья, врач-педиатр проводит комплексную оценку состояния здоровья ребенка и по результатам профилактического осмотра и сбора необходимых анализов ставит группу здоровья.</w:t>
      </w:r>
    </w:p>
    <w:p w:rsidR="0087046B" w:rsidRPr="00984A63" w:rsidRDefault="0087046B" w:rsidP="0087046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F5496" w:themeColor="accent5" w:themeShade="BF"/>
        </w:rPr>
      </w:pPr>
      <w:r w:rsidRPr="00984A63">
        <w:rPr>
          <w:rFonts w:ascii="Arial" w:hAnsi="Arial" w:cs="Arial"/>
          <w:color w:val="2F5496" w:themeColor="accent5" w:themeShade="BF"/>
        </w:rPr>
        <w:br/>
        <w:t>Комплексная оценка ставится на основании следующих </w:t>
      </w:r>
      <w:r w:rsidRPr="00984A63">
        <w:rPr>
          <w:rStyle w:val="a4"/>
          <w:rFonts w:ascii="inherit" w:hAnsi="inherit" w:cs="Arial"/>
          <w:color w:val="2F5496" w:themeColor="accent5" w:themeShade="BF"/>
          <w:bdr w:val="none" w:sz="0" w:space="0" w:color="auto" w:frame="1"/>
        </w:rPr>
        <w:t>критериев:</w:t>
      </w:r>
      <w:r w:rsidRPr="00984A63">
        <w:rPr>
          <w:rFonts w:ascii="Arial" w:hAnsi="Arial" w:cs="Arial"/>
          <w:color w:val="2F5496" w:themeColor="accent5" w:themeShade="BF"/>
        </w:rPr>
        <w:br/>
        <w:t>• наличие или отсутствие хронических заболеваний;</w:t>
      </w:r>
      <w:r w:rsidRPr="00984A63">
        <w:rPr>
          <w:rFonts w:ascii="Arial" w:hAnsi="Arial" w:cs="Arial"/>
          <w:color w:val="2F5496" w:themeColor="accent5" w:themeShade="BF"/>
        </w:rPr>
        <w:br/>
        <w:t>• функциональное состояние основных систем организма;</w:t>
      </w:r>
      <w:r w:rsidRPr="00984A63">
        <w:rPr>
          <w:rFonts w:ascii="Arial" w:hAnsi="Arial" w:cs="Arial"/>
          <w:color w:val="2F5496" w:themeColor="accent5" w:themeShade="BF"/>
        </w:rPr>
        <w:br/>
        <w:t>• степень сопротивляемости организма неблагоприятным воздействиям;</w:t>
      </w:r>
      <w:r w:rsidRPr="00984A63">
        <w:rPr>
          <w:rFonts w:ascii="Arial" w:hAnsi="Arial" w:cs="Arial"/>
          <w:color w:val="2F5496" w:themeColor="accent5" w:themeShade="BF"/>
        </w:rPr>
        <w:br/>
        <w:t>• уровень и гармоничность физического и нервно-психического развития.</w:t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Fonts w:ascii="Arial" w:hAnsi="Arial" w:cs="Arial"/>
          <w:color w:val="2F5496" w:themeColor="accent5" w:themeShade="BF"/>
        </w:rPr>
        <w:br/>
        <w:t>На основании результатов медицинского обследования и, исходя из всех вышеперечисленных критериев, дети распределяются на </w:t>
      </w:r>
      <w:r w:rsidRPr="00984A63">
        <w:rPr>
          <w:rStyle w:val="a4"/>
          <w:rFonts w:ascii="inherit" w:hAnsi="inherit" w:cs="Arial"/>
          <w:color w:val="2F5496" w:themeColor="accent5" w:themeShade="BF"/>
          <w:bdr w:val="none" w:sz="0" w:space="0" w:color="auto" w:frame="1"/>
        </w:rPr>
        <w:t>пять групп.</w:t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Style w:val="a4"/>
          <w:rFonts w:ascii="inherit" w:hAnsi="inherit" w:cs="Arial"/>
          <w:color w:val="2F5496" w:themeColor="accent5" w:themeShade="BF"/>
          <w:bdr w:val="none" w:sz="0" w:space="0" w:color="auto" w:frame="1"/>
        </w:rPr>
        <w:t>К I группе здоровья </w:t>
      </w:r>
      <w:r w:rsidRPr="00984A63">
        <w:rPr>
          <w:rFonts w:ascii="Arial" w:hAnsi="Arial" w:cs="Arial"/>
          <w:color w:val="2F5496" w:themeColor="accent5" w:themeShade="BF"/>
        </w:rPr>
        <w:t>относятся дети и подростки, не имеющие отклонений по всем критериям оценки здоровья, с нормальным психическим и физическим развитием, которые редко болеют и в момент обследования совершенно здоровы. Также к этой группе относятся дети, которые имеют единичные врожденные дефекты развития, которые не требуют коррекции и не влияют на общее состояние здоровья ребенка.</w:t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Style w:val="a4"/>
          <w:rFonts w:ascii="inherit" w:hAnsi="inherit" w:cs="Arial"/>
          <w:color w:val="2F5496" w:themeColor="accent5" w:themeShade="BF"/>
          <w:bdr w:val="none" w:sz="0" w:space="0" w:color="auto" w:frame="1"/>
        </w:rPr>
        <w:t>II группу</w:t>
      </w:r>
      <w:r w:rsidRPr="00984A63">
        <w:rPr>
          <w:rFonts w:ascii="Arial" w:hAnsi="Arial" w:cs="Arial"/>
          <w:color w:val="2F5496" w:themeColor="accent5" w:themeShade="BF"/>
        </w:rPr>
        <w:t xml:space="preserve"> составляют здоровые дети и подростки, не страдающие хроническими </w:t>
      </w:r>
      <w:r w:rsidRPr="00984A63">
        <w:rPr>
          <w:rFonts w:ascii="Arial" w:hAnsi="Arial" w:cs="Arial"/>
          <w:color w:val="2F5496" w:themeColor="accent5" w:themeShade="BF"/>
        </w:rPr>
        <w:lastRenderedPageBreak/>
        <w:t>заболеваниями, но имеющие некоторые функциональные и морфологические отклонения, а также часто (4 раза и более в год) или длительно (более 25 дней по одному заболеванию) болеющие (здоровые, с морфофункциональными отклонениями и сниженной сопротивляемостью).</w:t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Style w:val="a4"/>
          <w:rFonts w:ascii="inherit" w:hAnsi="inherit" w:cs="Arial"/>
          <w:color w:val="2F5496" w:themeColor="accent5" w:themeShade="BF"/>
          <w:bdr w:val="none" w:sz="0" w:space="0" w:color="auto" w:frame="1"/>
        </w:rPr>
        <w:t>К III группе здоровья</w:t>
      </w:r>
      <w:r w:rsidRPr="00984A63">
        <w:rPr>
          <w:rFonts w:ascii="Arial" w:hAnsi="Arial" w:cs="Arial"/>
          <w:color w:val="2F5496" w:themeColor="accent5" w:themeShade="BF"/>
        </w:rPr>
        <w:t> относятся дети и подростки, имеющие хронические заболевания или врожденную патологию в состоянии компенсации (без видимого проявления), с редкими и нетяжело протекающими обострениями хронического заболевания, без выраженного нарушения общего состояния и самочувствия (больные в состоянии компенсации).</w:t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Style w:val="a4"/>
          <w:rFonts w:ascii="inherit" w:hAnsi="inherit" w:cs="Arial"/>
          <w:color w:val="2F5496" w:themeColor="accent5" w:themeShade="BF"/>
          <w:bdr w:val="none" w:sz="0" w:space="0" w:color="auto" w:frame="1"/>
        </w:rPr>
        <w:t>IV группа здоровья </w:t>
      </w:r>
      <w:r w:rsidRPr="00984A63">
        <w:rPr>
          <w:rFonts w:ascii="Arial" w:hAnsi="Arial" w:cs="Arial"/>
          <w:color w:val="2F5496" w:themeColor="accent5" w:themeShade="BF"/>
        </w:rPr>
        <w:t xml:space="preserve">объединяет детей с хроническими заболеваниями, врожденными пороками развития в состоянии </w:t>
      </w:r>
      <w:proofErr w:type="spellStart"/>
      <w:r w:rsidRPr="00984A63">
        <w:rPr>
          <w:rFonts w:ascii="Arial" w:hAnsi="Arial" w:cs="Arial"/>
          <w:color w:val="2F5496" w:themeColor="accent5" w:themeShade="BF"/>
        </w:rPr>
        <w:t>субкомпенсации</w:t>
      </w:r>
      <w:proofErr w:type="spellEnd"/>
      <w:r w:rsidRPr="00984A63">
        <w:rPr>
          <w:rFonts w:ascii="Arial" w:hAnsi="Arial" w:cs="Arial"/>
          <w:color w:val="2F5496" w:themeColor="accent5" w:themeShade="BF"/>
        </w:rPr>
        <w:t xml:space="preserve"> (нарастание клинических симптомов и ухудшение самочувствия), затяжным периодом выздоровления после острых присоединившихся болезней, ухудшающих течение основного заболевания (больные в состоянии </w:t>
      </w:r>
      <w:proofErr w:type="spellStart"/>
      <w:r w:rsidRPr="00984A63">
        <w:rPr>
          <w:rFonts w:ascii="Arial" w:hAnsi="Arial" w:cs="Arial"/>
          <w:color w:val="2F5496" w:themeColor="accent5" w:themeShade="BF"/>
        </w:rPr>
        <w:t>субкомпенсации</w:t>
      </w:r>
      <w:proofErr w:type="spellEnd"/>
      <w:r w:rsidRPr="00984A63">
        <w:rPr>
          <w:rFonts w:ascii="Arial" w:hAnsi="Arial" w:cs="Arial"/>
          <w:color w:val="2F5496" w:themeColor="accent5" w:themeShade="BF"/>
        </w:rPr>
        <w:t>).</w:t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Style w:val="a4"/>
          <w:rFonts w:ascii="inherit" w:hAnsi="inherit" w:cs="Arial"/>
          <w:color w:val="2F5496" w:themeColor="accent5" w:themeShade="BF"/>
          <w:bdr w:val="none" w:sz="0" w:space="0" w:color="auto" w:frame="1"/>
        </w:rPr>
        <w:t>V группу здоровья</w:t>
      </w:r>
      <w:r w:rsidRPr="00984A63">
        <w:rPr>
          <w:rFonts w:ascii="Arial" w:hAnsi="Arial" w:cs="Arial"/>
          <w:color w:val="2F5496" w:themeColor="accent5" w:themeShade="BF"/>
        </w:rPr>
        <w:t> составляют дети, имеющие хронические заболевания или тяжелые пороки развития с существенно сниженными функциональными возможностями. Это дети, которые не ходят, имеют инвалидность, онкологические заболевания или другие тяжелые состояния. Как правило, такие больные не посещают детские и подростковые учреждения общего профиля и не проходят массовых осмотров.</w:t>
      </w:r>
      <w:r w:rsidRPr="00984A63">
        <w:rPr>
          <w:rFonts w:ascii="Arial" w:hAnsi="Arial" w:cs="Arial"/>
          <w:color w:val="2F5496" w:themeColor="accent5" w:themeShade="BF"/>
        </w:rPr>
        <w:br/>
      </w:r>
      <w:r w:rsidRPr="00984A63">
        <w:rPr>
          <w:rFonts w:ascii="Arial" w:hAnsi="Arial" w:cs="Arial"/>
          <w:color w:val="2F5496" w:themeColor="accent5" w:themeShade="BF"/>
        </w:rPr>
        <w:br/>
        <w:t>Группа здоровья – это показатель, который может меняться у детей с возрастом, но, к сожалению, обычно в сторону ухудшения. Поэтому важно не допустить этого. Укрепить здоровье ребенка поможет физическая культура.</w:t>
      </w:r>
    </w:p>
    <w:p w:rsidR="00B71970" w:rsidRPr="00984A63" w:rsidRDefault="00B71970">
      <w:pPr>
        <w:rPr>
          <w:color w:val="2F5496" w:themeColor="accent5" w:themeShade="BF"/>
          <w:sz w:val="24"/>
          <w:szCs w:val="24"/>
        </w:rPr>
      </w:pPr>
      <w:bookmarkStart w:id="0" w:name="_GoBack"/>
      <w:bookmarkEnd w:id="0"/>
    </w:p>
    <w:sectPr w:rsidR="00B71970" w:rsidRPr="00984A63" w:rsidSect="00984A63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A8"/>
    <w:rsid w:val="0087046B"/>
    <w:rsid w:val="00984A63"/>
    <w:rsid w:val="00B71970"/>
    <w:rsid w:val="00D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6257-E6EE-467F-8C31-5999503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2022-03-02T06:46:00Z</dcterms:created>
  <dcterms:modified xsi:type="dcterms:W3CDTF">2022-03-02T07:31:00Z</dcterms:modified>
</cp:coreProperties>
</file>